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能源问题与前景</w:t>
      </w:r>
    </w:p>
    <w:p>
      <w:r>
        <w:rPr>
          <w:rFonts w:ascii="宋体" w:hAnsi="宋体" w:eastAsia="宋体"/>
          <w:sz w:val="24"/>
        </w:rPr>
        <w:t>（苏）斯蒂里科维奇，什皮利莱因著；梁士元等译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能源问题与前景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（苏）斯蒂里科维奇，什皮利莱因著；梁士元等译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本书出售、求购地址：https://www.jiaokey.com/book/detail/10094981.html</w:t>
      </w:r>
    </w:p>
    <w:p>
      <w:r>
        <w:t>更多相关图书推荐：https://www.jiaokey.com</w:t>
      </w:r>
    </w:p>
    <w:p>
      <w:r>
        <w:t>（苏）斯蒂里科维奇，什皮利莱因著；梁士元等译 其他作品：https://www.jiaokey.com/tag/（苏）斯蒂里科维奇，什皮利莱因著；梁士元等译.html</w:t>
      </w:r>
    </w:p>
    <w:p>
      <w:r>
        <w:t>北京市：科学技术文献出版社 出版图书：https://www.jiaokey.com/tag/北京市：科学技术文献出版社.html</w:t>
      </w:r>
    </w:p>
    <w:p>
      <w:r>
        <w:t>关键词搜索：https://www.jiaokey.com/tag/能源问题与前景.html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