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千金食治</w:t>
      </w:r>
    </w:p>
    <w:p>
      <w:r>
        <w:rPr>
          <w:rFonts w:ascii="宋体" w:hAnsi="宋体" w:eastAsia="宋体"/>
          <w:sz w:val="24"/>
        </w:rPr>
        <w:t>（唐）孙思邈撰；吴受琚注释；（元）忽思慧撰；任应秋，吴受琚笺注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（唐）孙思邈撰；吴受琚注释；（元）忽思慧撰；任应秋，吴受琚笺注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本书出售、求购地址：https://www.jiaokey.com/book/detail/10093851.html</w:t>
      </w:r>
    </w:p>
    <w:p>
      <w:r>
        <w:t>更多相关图书推荐：https://www.jiaokey.com</w:t>
      </w:r>
    </w:p>
    <w:p>
      <w:r>
        <w:t>（唐）孙思邈撰；吴受琚注释；（元）忽思慧撰；任应秋，吴受琚笺注 其他作品：https://www.jiaokey.com/tag/（唐）孙思邈撰；吴受琚注释；（元）忽思慧撰；任应秋，吴受琚笺注.html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关键词搜索：https://www.jiaokey.com/tag/千金食治.html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