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图书馆的专业与非专业职责</w:t>
      </w:r>
    </w:p>
    <w:p>
      <w:r>
        <w:rPr>
          <w:rFonts w:ascii="宋体" w:hAnsi="宋体" w:eastAsia="宋体"/>
          <w:sz w:val="24"/>
        </w:rPr>
        <w:t>英国图书馆协会研究发展委员会编；庄芳荣译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图书馆的专业与非专业职责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英国图书馆协会研究发展委员会编；庄芳荣译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本书出售、求购地址：https://www.jiaokey.com/book/detail/10091911.html</w:t>
      </w:r>
    </w:p>
    <w:p>
      <w:r>
        <w:t>更多相关图书推荐：https://www.jiaokey.com</w:t>
      </w:r>
    </w:p>
    <w:p>
      <w:r>
        <w:t>英国图书馆协会研究发展委员会编；庄芳荣译 其他作品：https://www.jiaokey.com/tag/英国图书馆协会研究发展委员会编；庄芳荣译.html</w:t>
      </w:r>
    </w:p>
    <w:p>
      <w:r>
        <w:t>台湾学生书局 出版图书：https://www.jiaokey.com/tag/台湾学生书局.html</w:t>
      </w:r>
    </w:p>
    <w:p>
      <w:r>
        <w:t>关键词搜索：https://www.jiaokey.com/tag/图书馆的专业与非专业职责.html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