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原子吸收分光光度法</w:t>
      </w:r>
    </w:p>
    <w:p>
      <w:r>
        <w:rPr>
          <w:rFonts w:ascii="宋体" w:hAnsi="宋体" w:eastAsia="宋体"/>
          <w:sz w:val="24"/>
        </w:rPr>
        <w:t>（捷）I.鲁伯斯卡，B.莫尔丹著；原子吸收分光光度法翻译组译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原子吸收分光光度法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（捷）I.鲁伯斯卡，B.莫尔丹著；原子吸收分光光度法翻译组译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本书出售、求购地址：https://www.jiaokey.com/book/detail/10074315.html</w:t>
      </w:r>
    </w:p>
    <w:p>
      <w:r>
        <w:t>更多相关图书推荐：https://www.jiaokey.com</w:t>
      </w:r>
    </w:p>
    <w:p>
      <w:r>
        <w:t>（捷）I.鲁伯斯卡，B.莫尔丹著；原子吸收分光光度法翻译组译 其他作品：https://www.jiaokey.com/tag/（捷）I.鲁伯斯卡，B.莫尔丹著；原子吸收分光光度法翻译组译.html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关键词搜索：https://www.jiaokey.com/tag/原子吸收分光光度法.html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