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夸克，轻子与规范场</w:t>
      </w:r>
    </w:p>
    <w:p>
      <w:r>
        <w:rPr>
          <w:rFonts w:ascii="宋体" w:hAnsi="宋体" w:eastAsia="宋体"/>
          <w:sz w:val="24"/>
        </w:rPr>
        <w:t>&lt;美&gt;黄克孙著；丁亦兵等译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夸克，轻子与规范场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&lt;美&gt;黄克孙著；丁亦兵等译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本书出售、求购地址：https://www.jiaokey.com/book/detail/10072603.html</w:t>
      </w:r>
    </w:p>
    <w:p>
      <w:r>
        <w:t>更多相关图书推荐：https://www.jiaokey.com</w:t>
      </w:r>
    </w:p>
    <w:p>
      <w:r>
        <w:t>&lt;美&gt;黄克孙著；丁亦兵等译 其他作品：https://www.jiaokey.com/tag/&lt;美&gt;黄克孙著；丁亦兵等译.html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关键词搜索：https://www.jiaokey.com/tag/夸克，轻子与规范场.html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