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流体动力稳定性</w:t>
      </w:r>
    </w:p>
    <w:p>
      <w:r>
        <w:rPr>
          <w:rFonts w:ascii="宋体" w:hAnsi="宋体" w:eastAsia="宋体"/>
          <w:sz w:val="24"/>
        </w:rPr>
        <w:t>（英）P·G·德拉津 （美）W·H·雷德著；周祖巍 顾德炜译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（英）P·G·德拉津 （美）W·H·雷德著；周祖巍 顾德炜译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本书出售、求购地址：https://www.jiaokey.com/book/detail/10070943.html</w:t>
      </w:r>
    </w:p>
    <w:p>
      <w:r>
        <w:t>更多相关图书推荐：https://www.jiaokey.com</w:t>
      </w:r>
    </w:p>
    <w:p>
      <w:r>
        <w:t>（英）P·G·德拉津 （美）W·H·雷德著；周祖巍 顾德炜译 其他作品：https://www.jiaokey.com/tag/（英）P·G·德拉津 （美）W·H·雷德著；周祖巍 顾德炜译.html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关键词搜索：https://www.jiaokey.com/tag/流体动力稳定性.html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