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板壳理论</w:t>
      </w:r>
    </w:p>
    <w:p>
      <w:r>
        <w:rPr>
          <w:rFonts w:ascii="宋体" w:hAnsi="宋体" w:eastAsia="宋体"/>
          <w:sz w:val="24"/>
        </w:rPr>
        <w:t>（美）S.铁摩辛柯，S.沃诺斯基著；《板壳理论》翻译组译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（美）S.铁摩辛柯，S.沃诺斯基著；《板壳理论》翻译组译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本书出售、求购地址：https://www.jiaokey.com/book/detail/10070874.html</w:t>
      </w:r>
    </w:p>
    <w:p>
      <w:r>
        <w:t>更多相关图书推荐：https://www.jiaokey.com</w:t>
      </w:r>
    </w:p>
    <w:p>
      <w:r>
        <w:t>（美）S.铁摩辛柯，S.沃诺斯基著；《板壳理论》翻译组译 其他作品：https://www.jiaokey.com/tag/（美）S.铁摩辛柯，S.沃诺斯基著；《板壳理论》翻译组译.html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关键词搜索：https://www.jiaokey.com/tag/板壳理论.html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