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第二卷</w:t>
      </w:r>
    </w:p>
    <w:p>
      <w:r>
        <w:rPr>
          <w:rFonts w:ascii="宋体" w:hAnsi="宋体" w:eastAsia="宋体"/>
          <w:sz w:val="24"/>
        </w:rPr>
        <w:t>F·黎茨 B·塞克佛尔维-纳吉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F·黎茨 B·塞克佛尔维-纳吉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本书出售、求购地址：https://www.jiaokey.com/book/detail/10069823.html</w:t>
      </w:r>
    </w:p>
    <w:p>
      <w:r>
        <w:t>更多相关图书推荐：https://www.jiaokey.com</w:t>
      </w:r>
    </w:p>
    <w:p>
      <w:r>
        <w:t>F·黎茨 B·塞克佛尔维-纳吉 其他作品：https://www.jiaokey.com/tag/F·黎茨 B·塞克佛尔维-纳吉.html</w:t>
      </w:r>
    </w:p>
    <w:p>
      <w:r>
        <w:t>科学出版社 出版图书：https://www.jiaokey.com/tag/科学出版社.html</w:t>
      </w:r>
    </w:p>
    <w:p>
      <w:r>
        <w:t>关键词搜索：https://www.jiaokey.com/tag/泛函分析讲义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