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变分不等方程及其应用</w:t>
      </w:r>
    </w:p>
    <w:p>
      <w:r>
        <w:rPr>
          <w:rFonts w:ascii="宋体" w:hAnsi="宋体" w:eastAsia="宋体"/>
          <w:sz w:val="24"/>
        </w:rPr>
        <w:t>金德勒雷（Kinderlehrer，D.），斯当帕柯亚（Stampacchia，G.）著；郭友中，刘君兰译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变分不等方程及其应用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金德勒雷（Kinderlehrer，D.），斯当帕柯亚（Stampacchia，G.）著；郭友中，刘君兰译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本书出售、求购地址：https://www.jiaokey.com/book/detail/10069771.html</w:t>
      </w:r>
    </w:p>
    <w:p>
      <w:r>
        <w:t>更多相关图书推荐：https://www.jiaokey.com</w:t>
      </w:r>
    </w:p>
    <w:p>
      <w:r>
        <w:t>金德勒雷（Kinderlehrer，D.），斯当帕柯亚（Stampacchia，G.）著；郭友中，刘君兰译 其他作品：https://www.jiaokey.com/tag/金德勒雷（Kinderlehrer，D.），斯当帕柯亚（Stampacchia，G.）著；郭友中，刘君兰译.html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关键词搜索：https://www.jiaokey.com/tag/变分不等方程及其应用.html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