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3  卷50</w:t>
      </w:r>
    </w:p>
    <w:p>
      <w:r>
        <w:rPr>
          <w:rFonts w:ascii="宋体" w:hAnsi="宋体" w:eastAsia="宋体"/>
          <w:sz w:val="24"/>
        </w:rPr>
        <w:t>李宗侗，夏德仪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3  卷50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李宗侗，夏德仪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本书出售、求购地址：https://www.jiaokey.com/book/detail/10062532.html</w:t>
      </w:r>
    </w:p>
    <w:p>
      <w:r>
        <w:t>更多相关图书推荐：https://www.jiaokey.com</w:t>
      </w:r>
    </w:p>
    <w:p>
      <w:r>
        <w:t>李宗侗，夏德仪 其他作品：https://www.jiaokey.com/tag/李宗侗，夏德仪.html</w:t>
      </w:r>
    </w:p>
    <w:p>
      <w:r>
        <w:t>台湾商务印书馆 出版图书：https://www.jiaokey.com/tag/台湾商务印书馆.html</w:t>
      </w:r>
    </w:p>
    <w:p>
      <w:r>
        <w:t>关键词搜索：https://www.jiaokey.com/tag/资治通鉴今注  3  卷50.html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