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（近代部分  第二分册）</w:t>
      </w:r>
    </w:p>
    <w:p>
      <w:r>
        <w:rPr>
          <w:rFonts w:ascii="宋体" w:hAnsi="宋体" w:eastAsia="宋体"/>
          <w:sz w:val="24"/>
        </w:rPr>
        <w:t>本册主编  张宏儒 梅伟强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（近代部分  第二分册）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  张宏儒 梅伟强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本书出售、求购地址：https://www.jiaokey.com/book/detail/10061618.html</w:t>
      </w:r>
    </w:p>
    <w:p>
      <w:r>
        <w:t>更多相关图书推荐：https://www.jiaokey.com</w:t>
      </w:r>
    </w:p>
    <w:p>
      <w:r>
        <w:t>本册主编  张宏儒 梅伟强 其他作品：https://www.jiaokey.com/tag/本册主编  张宏儒 梅伟强.html</w:t>
      </w:r>
    </w:p>
    <w:p>
      <w:r>
        <w:t>重庆出版社 出版图书：https://www.jiaokey.com/tag/重庆出版社.html</w:t>
      </w:r>
    </w:p>
    <w:p>
      <w:r>
        <w:t>关键词搜索：https://www.jiaokey.com/tag/外国历史大事集  （近代部分  第二分册）.html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