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航空动力装置控制规律与特性</w:t>
      </w:r>
    </w:p>
    <w:p>
      <w:r>
        <w:rPr>
          <w:rFonts w:ascii="宋体" w:hAnsi="宋体" w:eastAsia="宋体"/>
          <w:sz w:val="24"/>
        </w:rPr>
        <w:t>（俄）Ю.Н.聂恰耶夫（Ю.Н.Нечаев）著；单凤桐，程振海译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航空动力装置控制规律与特性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（俄）Ю.Н.聂恰耶夫（Ю.Н.Нечаев）著；单凤桐，程振海译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本书出售、求购地址：https://www.jiaokey.com/book/detail/10060368.html</w:t>
      </w:r>
    </w:p>
    <w:p>
      <w:r>
        <w:t>更多相关图书推荐：https://www.jiaokey.com</w:t>
      </w:r>
    </w:p>
    <w:p>
      <w:r>
        <w:t>（俄）Ю.Н.聂恰耶夫（Ю.Н.Нечаев）著；单凤桐，程振海译 其他作品：https://www.jiaokey.com/tag/（俄）Ю.Н.聂恰耶夫（Ю.Н.Нечаев）著；单凤桐，程振海译.html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关键词搜索：https://www.jiaokey.com/tag/航空动力装置控制规律与特性.html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