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国际金融实务和案例</w:t>
      </w:r>
    </w:p>
    <w:p>
      <w:r>
        <w:rPr>
          <w:rFonts w:ascii="宋体" w:hAnsi="宋体" w:eastAsia="宋体"/>
          <w:sz w:val="24"/>
        </w:rPr>
        <w:t>陈湛匀，范卫尧主编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国际金融实务和案例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陈湛匀，范卫尧主编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上海：华东化工学院出版社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本书出售、求购地址：https://www.jiaokey.com/book/detail/10043460.html</w:t>
      </w:r>
    </w:p>
    <w:p>
      <w:r>
        <w:t>更多相关图书推荐：https://www.jiaokey.com</w:t>
      </w:r>
    </w:p>
    <w:p>
      <w:r>
        <w:t>陈湛匀，范卫尧主编 其他作品：https://www.jiaokey.com/tag/陈湛匀，范卫尧主编.html</w:t>
      </w:r>
    </w:p>
    <w:p>
      <w:r>
        <w:t>上海：华东化工学院出版社 出版图书：https://www.jiaokey.com/tag/上海：华东化工学院出版社.html</w:t>
      </w:r>
    </w:p>
    <w:p>
      <w:r>
        <w:t>关键词搜索：https://www.jiaokey.com/tag/国际金融实务和案例.html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