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我国货币供给内生性的特征分析</w:t>
      </w:r>
    </w:p>
    <w:p>
      <w:r>
        <w:rPr>
          <w:rFonts w:ascii="宋体" w:hAnsi="宋体" w:eastAsia="宋体"/>
          <w:sz w:val="24"/>
        </w:rPr>
        <w:t>刘海虹著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我国货币供给内生性的特征分析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本书出售、求购地址：https://www.jiaokey.com/book/detail/10042296.html</w:t>
      </w:r>
    </w:p>
    <w:p>
      <w:r>
        <w:t>更多相关图书推荐：https://www.jiaokey.com</w:t>
      </w:r>
    </w:p>
    <w:p>
      <w:r>
        <w:t>刘海虹著 其他作品：https://www.jiaokey.com/tag/刘海虹著.html</w:t>
      </w:r>
    </w:p>
    <w:p>
      <w:r>
        <w:t>北京：万国学术出版社 出版图书：https://www.jiaokey.com/tag/北京：万国学术出版社.html</w:t>
      </w:r>
    </w:p>
    <w:p>
      <w:r>
        <w:t>关键词搜索：https://www.jiaokey.com/tag/我国货币供给内生性的特征分析.html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