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书名：国家干预经济与中日近代化  轮船招商局与三菱·日本邮船会社的比较研究</w:t>
      </w:r>
    </w:p>
    <w:p>
      <w:r>
        <w:t>作者：朱荫贵著</w:t>
      </w:r>
    </w:p>
    <w:p>
      <w:r>
        <w:t>出版社：北京：东方出版社</w:t>
      </w:r>
    </w:p>
    <w:p>
      <w:r>
        <w:t>出版日期：1994.12</w:t>
      </w:r>
    </w:p>
    <w:p>
      <w:r>
        <w:t>总页数：271</w:t>
      </w:r>
    </w:p>
    <w:p>
      <w:r>
        <w:t>更多请访问教客网: www.jiaokey.com</w:t>
      </w:r>
    </w:p>
    <w:p>
      <w:r>
        <w:t>国家干预经济与中日近代化  轮船招商局与三菱·日本邮船会社的比较研究 评论地址：https://www.jiaokey.com/book/detail/10040525.html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