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从贫苦农民到现代化农民  一套革命的农村发展战略及以色列的乡村综合发展</w:t>
      </w:r>
    </w:p>
    <w:p>
      <w:r>
        <w:rPr>
          <w:rFonts w:ascii="宋体" w:hAnsi="宋体" w:eastAsia="宋体"/>
          <w:sz w:val="24"/>
        </w:rPr>
        <w:t>（以色列）拉南·魏茨（Raaanan Weitz）著；杨林军，何大明等译；何平校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从贫苦农民到现代化农民  一套革命的农村发展战略及以色列的乡村综合发展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（以色列）拉南·魏茨（Raaanan Weitz）著；杨林军，何大明等译；何平校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本书出售、求购地址：https://www.jiaokey.com/book/detail/10040261.html</w:t>
      </w:r>
    </w:p>
    <w:p>
      <w:r>
        <w:t>更多相关图书推荐：https://www.jiaokey.com</w:t>
      </w:r>
    </w:p>
    <w:p>
      <w:r>
        <w:t>（以色列）拉南·魏茨（Raaanan Weitz）著；杨林军，何大明等译；何平校 其他作品：https://www.jiaokey.com/tag/（以色列）拉南·魏茨（Raaanan Weitz）著；杨林军，何大明等译；何平校.html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关键词搜索：https://www.jiaokey.com/tag/从贫苦农民到现代化农民  一套革命的农村发展战略及以色列的乡村综合发展.html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