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书名：所有权与资本经营  所有权虚置·国资公司建设·资本经营规律</w:t>
      </w:r>
    </w:p>
    <w:p>
      <w:r>
        <w:t>作者：熊海斌著</w:t>
      </w:r>
    </w:p>
    <w:p>
      <w:r>
        <w:t>出版社：北京：中国物价出版社</w:t>
      </w:r>
    </w:p>
    <w:p>
      <w:r>
        <w:t>出版日期：1997.05</w:t>
      </w:r>
    </w:p>
    <w:p>
      <w:r>
        <w:t>总页数：288</w:t>
      </w:r>
    </w:p>
    <w:p>
      <w:r>
        <w:t>更多请访问教客网: www.jiaokey.com</w:t>
      </w:r>
    </w:p>
    <w:p>
      <w:r>
        <w:t>所有权与资本经营  所有权虚置·国资公司建设·资本经营规律 评论地址：https://www.jiaokey.com/book/detail/10039764.html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