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跨世纪的冲击  兼并收购、反收购及融投资策略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跨世纪的冲击  兼并收购、反收购及融投资策略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本书出售、求购地址：https://www.jiaokey.com/book/detail/10038334.html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关键词搜索：https://www.jiaokey.com/tag/跨世纪的冲击  兼并收购、反收购及融投资策略.html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