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价格工资螺旋的生成和演衍</w:t>
      </w:r>
    </w:p>
    <w:p>
      <w:r>
        <w:rPr>
          <w:rFonts w:ascii="宋体" w:hAnsi="宋体" w:eastAsia="宋体"/>
          <w:sz w:val="24"/>
        </w:rPr>
        <w:t>戴园晨，诸建芳著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价格工资螺旋的生成和演衍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戴园晨，诸建芳著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本书出售、求购地址：https://www.jiaokey.com/book/detail/10038067.html</w:t>
      </w:r>
    </w:p>
    <w:p>
      <w:r>
        <w:t>更多相关图书推荐：https://www.jiaokey.com</w:t>
      </w:r>
    </w:p>
    <w:p>
      <w:r>
        <w:t>戴园晨，诸建芳著 其他作品：https://www.jiaokey.com/tag/戴园晨，诸建芳著.html</w:t>
      </w:r>
    </w:p>
    <w:p>
      <w:r>
        <w:t>中国劳动出版社 出版图书：https://www.jiaokey.com/tag/中国劳动出版社.html</w:t>
      </w:r>
    </w:p>
    <w:p>
      <w:r>
        <w:t>关键词搜索：https://www.jiaokey.com/tag/价格工资螺旋的生成和演衍.html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