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欧洲经济史 第四卷 下册 工业社会的兴起</w:t>
      </w:r>
    </w:p>
    <w:p>
      <w:r>
        <w:rPr>
          <w:rFonts w:ascii="宋体" w:hAnsi="宋体" w:eastAsia="宋体"/>
          <w:sz w:val="24"/>
        </w:rPr>
        <w:t>（意）卡洛·M·奇波拉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欧洲经济史 第四卷 下册 工业社会的兴起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（意）卡洛·M·奇波拉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本书出售、求购地址：https://www.jiaokey.com/book/detail/10036294.html</w:t>
      </w:r>
    </w:p>
    <w:p>
      <w:r>
        <w:t>更多相关图书推荐：https://www.jiaokey.com</w:t>
      </w:r>
    </w:p>
    <w:p>
      <w:r>
        <w:t>（意）卡洛·M·奇波拉 其他作品：https://www.jiaokey.com/tag/（意）卡洛·M·奇波拉.html</w:t>
      </w:r>
    </w:p>
    <w:p>
      <w:r>
        <w:t>商务印书馆 出版图书：https://www.jiaokey.com/tag/商务印书馆.html</w:t>
      </w:r>
    </w:p>
    <w:p>
      <w:r>
        <w:t>关键词搜索：https://www.jiaokey.com/tag/欧洲经济史 第四卷 下册 工业社会的兴起.html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