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肝胆疾病的命名规范、诊断要点及预后</w:t>
      </w:r>
    </w:p>
    <w:p>
      <w:r>
        <w:rPr>
          <w:rFonts w:ascii="宋体" w:hAnsi="宋体" w:eastAsia="宋体"/>
          <w:sz w:val="24"/>
        </w:rPr>
        <w:t>国际肝脏病信息学小组著；王宝恩，贾继东主译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肝胆疾病的命名规范、诊断要点及预后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国际肝脏病信息学小组著；王宝恩，贾继东主译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本书出售、求购地址：https://www.jiaokey.com/book/detail/10032749.html</w:t>
      </w:r>
    </w:p>
    <w:p>
      <w:r>
        <w:t>更多相关图书推荐：https://www.jiaokey.com</w:t>
      </w:r>
    </w:p>
    <w:p>
      <w:r>
        <w:t>国际肝脏病信息学小组著；王宝恩，贾继东主译 其他作品：https://www.jiaokey.com/tag/国际肝脏病信息学小组著；王宝恩，贾继东主译.html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关键词搜索：https://www.jiaokey.com/tag/肝胆疾病的命名规范、诊断要点及预后.html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