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凉山彝族奴隶社会的变革资料摘编</w:t>
      </w:r>
    </w:p>
    <w:p>
      <w:r>
        <w:rPr>
          <w:rFonts w:ascii="宋体" w:hAnsi="宋体" w:eastAsia="宋体"/>
          <w:sz w:val="24"/>
        </w:rPr>
        <w:t>韦清风，冯小舟，王伯仲，李家秀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凉山彝族奴隶社会的变革资料摘编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韦清风，冯小舟，王伯仲，李家秀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本书出售、求购地址：https://www.jiaokey.com/book/detail/10030828.html</w:t>
      </w:r>
    </w:p>
    <w:p>
      <w:r>
        <w:t>更多相关图书推荐：https://www.jiaokey.com</w:t>
      </w:r>
    </w:p>
    <w:p>
      <w:r>
        <w:t>韦清风，冯小舟，王伯仲，李家秀 其他作品：https://www.jiaokey.com/tag/韦清风，冯小舟，王伯仲，李家秀.html</w:t>
      </w:r>
    </w:p>
    <w:p>
      <w:r>
        <w:t>中国社会科学院民族研究所 出版图书：https://www.jiaokey.com/tag/中国社会科学院民族研究所.html</w:t>
      </w:r>
    </w:p>
    <w:p>
      <w:r>
        <w:t>关键词搜索：https://www.jiaokey.com/tag/凉山彝族奴隶社会的变革资料摘编.html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