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产权流动</w:t>
      </w:r>
    </w:p>
    <w:p>
      <w:r>
        <w:rPr>
          <w:rFonts w:ascii="宋体" w:hAnsi="宋体" w:eastAsia="宋体"/>
          <w:sz w:val="24"/>
        </w:rPr>
        <w:t>丘树宏 包于黄 俞友康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 包于黄 俞友康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本书出售、求购地址：https://www.jiaokey.com/book/detail/10027556.html</w:t>
      </w:r>
    </w:p>
    <w:p>
      <w:r>
        <w:t>更多相关图书推荐：https://www.jiaokey.com</w:t>
      </w:r>
    </w:p>
    <w:p>
      <w:r>
        <w:t>丘树宏 包于黄 俞友康 其他作品：https://www.jiaokey.com/tag/丘树宏 包于黄 俞友康.html</w:t>
      </w:r>
    </w:p>
    <w:p>
      <w:r>
        <w:t>改革出版社 出版图书：https://www.jiaokey.com/tag/改革出版社.html</w:t>
      </w:r>
    </w:p>
    <w:p>
      <w:r>
        <w:t>关键词搜索：https://www.jiaokey.com/tag/产权流动.html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