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当代世界经济——格局与走势</w:t>
      </w:r>
    </w:p>
    <w:p>
      <w:r>
        <w:rPr>
          <w:rFonts w:ascii="宋体" w:hAnsi="宋体" w:eastAsia="宋体"/>
          <w:sz w:val="24"/>
        </w:rPr>
        <w:t>邵进生  曹照鹍 朱仲羽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当代世界经济——格局与走势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邵进生  曹照鹍 朱仲羽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本书出售、求购地址：https://www.jiaokey.com/book/detail/10026909.html</w:t>
      </w:r>
    </w:p>
    <w:p>
      <w:r>
        <w:t>更多相关图书推荐：https://www.jiaokey.com</w:t>
      </w:r>
    </w:p>
    <w:p>
      <w:r>
        <w:t>邵进生  曹照鹍 朱仲羽 其他作品：https://www.jiaokey.com/tag/邵进生  曹照鹍 朱仲羽.html</w:t>
      </w:r>
    </w:p>
    <w:p>
      <w:r>
        <w:t>苏州大学出版社 出版图书：https://www.jiaokey.com/tag/苏州大学出版社.html</w:t>
      </w:r>
    </w:p>
    <w:p>
      <w:r>
        <w:t>关键词搜索：https://www.jiaokey.com/tag/当代世界经济——格局与走势.html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