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收入分配理论</w:t>
      </w:r>
    </w:p>
    <w:p>
      <w:r>
        <w:rPr>
          <w:rFonts w:ascii="宋体" w:hAnsi="宋体" w:eastAsia="宋体"/>
          <w:sz w:val="24"/>
        </w:rPr>
        <w:t>（美）阿塔纳修斯·阿西马科普洛斯（Athanasios Asimakopulos）编；赖德胜等译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（美）阿塔纳修斯·阿西马科普洛斯（Athanasios Asimakopulos）编；赖德胜等译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本书出售、求购地址：https://www.jiaokey.com/book/detail/10025886.html</w:t>
      </w:r>
    </w:p>
    <w:p>
      <w:r>
        <w:t>更多相关图书推荐：https://www.jiaokey.com</w:t>
      </w:r>
    </w:p>
    <w:p>
      <w:r>
        <w:t>（美）阿塔纳修斯·阿西马科普洛斯（Athanasios Asimakopulos）编；赖德胜等译 其他作品：https://www.jiaokey.com/tag/（美）阿塔纳修斯·阿西马科普洛斯（Athanasios Asimakopulos）编；赖德胜等译.html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关键词搜索：https://www.jiaokey.com/tag/收入分配理论.html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