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车辆设计参考手册·车辆总体及车体</w:t>
      </w:r>
    </w:p>
    <w:p>
      <w:r>
        <w:rPr>
          <w:rFonts w:ascii="宋体" w:hAnsi="宋体" w:eastAsia="宋体"/>
          <w:sz w:val="24"/>
        </w:rPr>
        <w:t>成建民 姚金山 尤文娅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车辆设计参考手册·车辆总体及车体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成建民 姚金山 尤文娅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本书出售、求购地址：https://www.jiaokey.com/book/detail/10016403.html</w:t>
      </w:r>
    </w:p>
    <w:p>
      <w:r>
        <w:t>更多相关图书推荐：https://www.jiaokey.com</w:t>
      </w:r>
    </w:p>
    <w:p>
      <w:r>
        <w:t>成建民 姚金山 尤文娅 其他作品：https://www.jiaokey.com/tag/成建民 姚金山 尤文娅.html</w:t>
      </w:r>
    </w:p>
    <w:p>
      <w:r>
        <w:t>中国铁道出版社 出版图书：https://www.jiaokey.com/tag/中国铁道出版社.html</w:t>
      </w:r>
    </w:p>
    <w:p>
      <w:r>
        <w:t>关键词搜索：https://www.jiaokey.com/tag/车辆设计参考手册·车辆总体及车体.html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