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钢筋混凝土板</w:t>
      </w:r>
    </w:p>
    <w:p>
      <w:r>
        <w:rPr>
          <w:rFonts w:ascii="宋体" w:hAnsi="宋体" w:eastAsia="宋体"/>
          <w:sz w:val="24"/>
        </w:rPr>
        <w:t>R·派克，M·L·根勃尔著；黄国桢，成源华译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R·派克，M·L·根勃尔著；黄国桢，成源华译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本书出售、求购地址：https://www.jiaokey.com/book/detail/10013798.html</w:t>
      </w:r>
    </w:p>
    <w:p>
      <w:r>
        <w:t>更多相关图书推荐：https://www.jiaokey.com</w:t>
      </w:r>
    </w:p>
    <w:p>
      <w:r>
        <w:t>R·派克，M·L·根勃尔著；黄国桢，成源华译 其他作品：https://www.jiaokey.com/tag/R·派克，M·L·根勃尔著；黄国桢，成源华译.html</w:t>
      </w:r>
    </w:p>
    <w:p>
      <w:r>
        <w:t>上海市：同济大学出版社 出版图书：https://www.jiaokey.com/tag/上海市：同济大学出版社.html</w:t>
      </w:r>
    </w:p>
    <w:p>
      <w:r>
        <w:t>关键词搜索：https://www.jiaokey.com/tag/钢筋混凝土板.html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