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 HTML开发使用手册</w:t>
      </w:r>
    </w:p>
    <w:p>
      <w:r>
        <w:rPr>
          <w:rFonts w:ascii="宋体" w:hAnsi="宋体" w:eastAsia="宋体"/>
          <w:sz w:val="24"/>
        </w:rPr>
        <w:t>（美）（M.瑟法斯）Mark Surfas等著；克立兹软件研究所译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 HTML开发使用手册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（美）（M.瑟法斯）Mark Surfas等著；克立兹软件研究所译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本书出售、求购地址：https://www.jiaokey.com/book/detail/10012259.html</w:t>
      </w:r>
    </w:p>
    <w:p>
      <w:r>
        <w:t>更多相关图书推荐：https://www.jiaokey.com</w:t>
      </w:r>
    </w:p>
    <w:p>
      <w:r>
        <w:t>（美）（M.瑟法斯）Mark Surfas等著；克立兹软件研究所译 其他作品：https://www.jiaokey.com/tag/（美）（M.瑟法斯）Mark Surfas等著；克立兹软件研究所译.html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关键词搜索：https://www.jiaokey.com/tag/Intranet HTML开发使用手册.html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