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借贷、保险合同实务及文本格式</w:t>
      </w:r>
    </w:p>
    <w:p>
      <w:r>
        <w:rPr>
          <w:rFonts w:ascii="宋体" w:hAnsi="宋体" w:eastAsia="宋体"/>
          <w:sz w:val="24"/>
        </w:rPr>
        <w:t>杨文开  肖玉萍编著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借贷、保险合同实务及文本格式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杨文开  肖玉萍编著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本书出售、求购地址：https://www.jiaokey.com/book/detail/10003172.html</w:t>
      </w:r>
    </w:p>
    <w:p>
      <w:r>
        <w:t>更多相关图书推荐：https://www.jiaokey.com</w:t>
      </w:r>
    </w:p>
    <w:p>
      <w:r>
        <w:t>杨文开  肖玉萍编著 其他作品：https://www.jiaokey.com/tag/杨文开  肖玉萍编著.html</w:t>
      </w:r>
    </w:p>
    <w:p>
      <w:r>
        <w:t>法律出版社 出版图书：https://www.jiaokey.com/tag/法律出版社.html</w:t>
      </w:r>
    </w:p>
    <w:p>
      <w:r>
        <w:t>关键词搜索：https://www.jiaokey.com/tag/借贷、保险合同实务及文本格式.html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