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香港的法律</w:t>
      </w:r>
    </w:p>
    <w:p>
      <w:r>
        <w:rPr>
          <w:rFonts w:ascii="宋体" w:hAnsi="宋体" w:eastAsia="宋体"/>
          <w:sz w:val="24"/>
        </w:rPr>
        <w:t>（新西兰）彭林顿（Penlington，V.）著；毛华，叶美媛译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（新西兰）彭林顿（Penlington，V.）著；毛华，叶美媛译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本书出售、求购地址：https://www.jiaokey.com/book/detail/10002368.html</w:t>
      </w:r>
    </w:p>
    <w:p>
      <w:r>
        <w:t>更多相关图书推荐：https://www.jiaokey.com</w:t>
      </w:r>
    </w:p>
    <w:p>
      <w:r>
        <w:t>（新西兰）彭林顿（Penlington，V.）著；毛华，叶美媛译 其他作品：https://www.jiaokey.com/tag/（新西兰）彭林顿（Penlington，V.）著；毛华，叶美媛译.html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关键词搜索：https://www.jiaokey.com/tag/香港的法律.html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